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7D0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微软雅黑" w:hAnsi="微软雅黑" w:eastAsia="微软雅黑" w:cs="微软雅黑"/>
          <w:b w:val="0"/>
          <w:bCs w:val="0"/>
          <w:i w:val="0"/>
          <w:iCs w:val="0"/>
          <w:caps w:val="0"/>
          <w:color w:val="333333"/>
          <w:spacing w:val="0"/>
          <w:sz w:val="44"/>
          <w:szCs w:val="44"/>
          <w:bdr w:val="none" w:color="auto" w:sz="0" w:space="0"/>
          <w:shd w:val="clear" w:fill="FFFFFF"/>
        </w:rPr>
      </w:pPr>
      <w:bookmarkStart w:id="0" w:name="_GoBack"/>
      <w:r>
        <w:rPr>
          <w:rFonts w:hint="eastAsia" w:ascii="微软雅黑" w:hAnsi="微软雅黑" w:eastAsia="微软雅黑" w:cs="微软雅黑"/>
          <w:b w:val="0"/>
          <w:bCs w:val="0"/>
          <w:i w:val="0"/>
          <w:iCs w:val="0"/>
          <w:caps w:val="0"/>
          <w:color w:val="333333"/>
          <w:spacing w:val="0"/>
          <w:sz w:val="44"/>
          <w:szCs w:val="44"/>
          <w:bdr w:val="none" w:color="auto" w:sz="0" w:space="0"/>
          <w:shd w:val="clear" w:fill="FFFFFF"/>
        </w:rPr>
        <w:t>中国共产党第二十届中央委员会第四次</w:t>
      </w:r>
    </w:p>
    <w:p w14:paraId="7D003B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i w:val="0"/>
          <w:iCs w:val="0"/>
          <w:caps w:val="0"/>
          <w:color w:val="333333"/>
          <w:spacing w:val="0"/>
          <w:sz w:val="44"/>
          <w:szCs w:val="44"/>
          <w:bdr w:val="none" w:color="auto" w:sz="0" w:space="0"/>
          <w:shd w:val="clear" w:fill="FFFFFF"/>
        </w:rPr>
        <w:t>全体会议公报</w:t>
      </w:r>
    </w:p>
    <w:bookmarkEnd w:id="0"/>
    <w:p w14:paraId="1836E837">
      <w:pPr>
        <w:keepNext w:val="0"/>
        <w:keepLines w:val="0"/>
        <w:widowControl/>
        <w:suppressLineNumbers w:val="0"/>
        <w:pBdr>
          <w:top w:val="none" w:color="auto" w:sz="0" w:space="0"/>
          <w:left w:val="none" w:color="auto" w:sz="0" w:space="0"/>
          <w:bottom w:val="single" w:color="DCDCDC" w:sz="2"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898989"/>
          <w:spacing w:val="0"/>
          <w:sz w:val="15"/>
          <w:szCs w:val="15"/>
          <w:u w:val="none"/>
        </w:rPr>
      </w:pPr>
      <w:r>
        <w:rPr>
          <w:rFonts w:hint="eastAsia" w:ascii="宋体" w:hAnsi="宋体" w:eastAsia="宋体" w:cs="宋体"/>
          <w:i w:val="0"/>
          <w:iCs w:val="0"/>
          <w:caps w:val="0"/>
          <w:color w:val="666666"/>
          <w:spacing w:val="0"/>
          <w:kern w:val="0"/>
          <w:sz w:val="24"/>
          <w:szCs w:val="24"/>
          <w:bdr w:val="none" w:color="auto" w:sz="0" w:space="0"/>
          <w:shd w:val="clear" w:fill="FFFFFF"/>
          <w:lang w:val="en-US" w:eastAsia="zh-CN" w:bidi="ar"/>
        </w:rPr>
        <w:t>2025-10-23 16:57 来源： 新华社</w:t>
      </w:r>
      <w:r>
        <w:rPr>
          <w:rFonts w:hint="eastAsia" w:ascii="宋体" w:hAnsi="宋体" w:eastAsia="宋体" w:cs="宋体"/>
          <w:i w:val="0"/>
          <w:iCs w:val="0"/>
          <w:caps w:val="0"/>
          <w:color w:val="000000"/>
          <w:spacing w:val="0"/>
          <w:kern w:val="0"/>
          <w:sz w:val="15"/>
          <w:szCs w:val="15"/>
          <w:u w:val="none"/>
          <w:bdr w:val="none" w:color="auto" w:sz="0" w:space="0"/>
          <w:shd w:val="clear" w:fill="FFFFFF"/>
          <w:lang w:val="en-US" w:eastAsia="zh-CN" w:bidi="ar"/>
        </w:rPr>
        <w:t> </w:t>
      </w:r>
      <w:r>
        <w:rPr>
          <w:rFonts w:hint="eastAsia" w:ascii="宋体" w:hAnsi="宋体" w:eastAsia="宋体" w:cs="宋体"/>
          <w:i w:val="0"/>
          <w:iCs w:val="0"/>
          <w:caps w:val="0"/>
          <w:color w:val="898989"/>
          <w:spacing w:val="0"/>
          <w:kern w:val="0"/>
          <w:sz w:val="15"/>
          <w:szCs w:val="15"/>
          <w:u w:val="none"/>
          <w:bdr w:val="none" w:color="auto" w:sz="0" w:space="0"/>
          <w:shd w:val="clear" w:fill="FFFFFF"/>
          <w:lang w:val="en-US" w:eastAsia="zh-CN" w:bidi="ar"/>
        </w:rPr>
        <w:t> </w:t>
      </w:r>
      <w:r>
        <w:rPr>
          <w:rFonts w:hint="eastAsia" w:ascii="宋体" w:hAnsi="宋体" w:eastAsia="宋体" w:cs="宋体"/>
          <w:i w:val="0"/>
          <w:iCs w:val="0"/>
          <w:caps w:val="0"/>
          <w:color w:val="000000"/>
          <w:spacing w:val="0"/>
          <w:kern w:val="0"/>
          <w:sz w:val="15"/>
          <w:szCs w:val="15"/>
          <w:u w:val="none"/>
          <w:bdr w:val="none" w:color="auto" w:sz="0" w:space="0"/>
          <w:shd w:val="clear" w:fill="FFFFFF"/>
          <w:lang w:val="en-US" w:eastAsia="zh-CN" w:bidi="ar"/>
        </w:rPr>
        <w:t> </w:t>
      </w:r>
      <w:r>
        <w:rPr>
          <w:rFonts w:hint="eastAsia" w:ascii="宋体" w:hAnsi="宋体" w:eastAsia="宋体" w:cs="宋体"/>
          <w:i w:val="0"/>
          <w:iCs w:val="0"/>
          <w:caps w:val="0"/>
          <w:color w:val="898989"/>
          <w:spacing w:val="0"/>
          <w:kern w:val="0"/>
          <w:sz w:val="15"/>
          <w:szCs w:val="15"/>
          <w:u w:val="none"/>
          <w:bdr w:val="none" w:color="auto" w:sz="0" w:space="0"/>
          <w:shd w:val="clear" w:fill="FFFFFF"/>
          <w:lang w:val="en-US" w:eastAsia="zh-CN" w:bidi="ar"/>
        </w:rPr>
        <w:t> </w:t>
      </w:r>
      <w:r>
        <w:rPr>
          <w:rFonts w:hint="eastAsia" w:ascii="宋体" w:hAnsi="宋体" w:eastAsia="宋体" w:cs="宋体"/>
          <w:i w:val="0"/>
          <w:iCs w:val="0"/>
          <w:caps w:val="0"/>
          <w:color w:val="000000"/>
          <w:spacing w:val="0"/>
          <w:kern w:val="0"/>
          <w:sz w:val="15"/>
          <w:szCs w:val="15"/>
          <w:u w:val="none"/>
          <w:bdr w:val="none" w:color="auto" w:sz="0" w:space="0"/>
          <w:shd w:val="clear" w:fill="FFFFFF"/>
          <w:lang w:val="en-US" w:eastAsia="zh-CN" w:bidi="ar"/>
        </w:rPr>
        <w:t> </w:t>
      </w:r>
    </w:p>
    <w:p w14:paraId="154292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0"/>
        <w:jc w:val="center"/>
        <w:rPr>
          <w:sz w:val="36"/>
          <w:szCs w:val="36"/>
        </w:rPr>
      </w:pPr>
      <w:r>
        <w:rPr>
          <w:rStyle w:val="6"/>
          <w:rFonts w:hint="eastAsia" w:ascii="宋体" w:hAnsi="宋体" w:eastAsia="宋体" w:cs="宋体"/>
          <w:i w:val="0"/>
          <w:iCs w:val="0"/>
          <w:caps w:val="0"/>
          <w:color w:val="800000"/>
          <w:spacing w:val="0"/>
          <w:sz w:val="24"/>
          <w:szCs w:val="24"/>
          <w:bdr w:val="none" w:color="auto" w:sz="0" w:space="0"/>
          <w:shd w:val="clear" w:fill="FFFFFF"/>
        </w:rPr>
        <w:t>中国共产党第二十届中央委员会第四次全体会议公报</w:t>
      </w:r>
      <w:r>
        <w:rPr>
          <w:rFonts w:ascii="楷体" w:hAnsi="楷体" w:eastAsia="楷体" w:cs="楷体"/>
          <w:i w:val="0"/>
          <w:iCs w:val="0"/>
          <w:caps w:val="0"/>
          <w:color w:val="800000"/>
          <w:spacing w:val="0"/>
          <w:sz w:val="24"/>
          <w:szCs w:val="24"/>
          <w:bdr w:val="none" w:color="auto" w:sz="0" w:space="0"/>
          <w:shd w:val="clear" w:fill="FFFFFF"/>
        </w:rPr>
        <w:br w:type="textWrapping"/>
      </w:r>
      <w:r>
        <w:rPr>
          <w:rFonts w:hint="eastAsia" w:ascii="楷体" w:hAnsi="楷体" w:eastAsia="楷体" w:cs="楷体"/>
          <w:i w:val="0"/>
          <w:iCs w:val="0"/>
          <w:caps w:val="0"/>
          <w:color w:val="800000"/>
          <w:spacing w:val="0"/>
          <w:sz w:val="24"/>
          <w:szCs w:val="24"/>
          <w:bdr w:val="none" w:color="auto" w:sz="0" w:space="0"/>
          <w:shd w:val="clear" w:fill="FFFFFF"/>
        </w:rPr>
        <w:t>（2025年10月23日中国共产党第二十届中央委员会第四次全体会议通过）</w:t>
      </w:r>
    </w:p>
    <w:p w14:paraId="381C1F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中国共产党第二十届中央委员会第四次全体会议，于2025年10月20日至23日在北京举行。</w:t>
      </w:r>
    </w:p>
    <w:p w14:paraId="34B380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出席这次全会的有，中央委员168人，候补中央委员147人。中央纪律检查委员会常务委员会委员和有关方面负责同志列席会议。党的二十大代表中部分基层同志和专家学者也列席了会议。</w:t>
      </w:r>
    </w:p>
    <w:p w14:paraId="236C86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全会由中央政治局主持。中央委员会总书记习近平作了重要讲话。</w:t>
      </w:r>
    </w:p>
    <w:p w14:paraId="71638C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全会听取和讨论了习近平受中央政治局委托所作的工作报告，审议通过了《中共中央关于制定国民经济和社会发展第十五个五年规划的建议》。习近平就《建议（讨论稿）》向全会作了说明</w:t>
      </w:r>
    </w:p>
    <w:p w14:paraId="1277D1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充分肯定党的二十届三中全会以来中央政治局的工作。一致认为，中央政治局认真落实党的二十大和二十届历次全会精神，坚持稳中求进工作总基调，完整准确全面贯彻新发展理念，统筹推进“五位一体”总体布局，协调推进“四个全面”战略布局，统筹国内国际两个大局，统筹发展和安全，进一步全面深化改革，扎实推动高质量发展，推进社会主义民主法治建设，加强宣传思想文化工作，切实抓好民生保障和生态环境保护，维护国家安全和社会稳定，开展深入贯彻中央八项规定精神学习教育、纵深推进全面从严治党，加强国防和军队现代化建设，做好港澳工作和对台工作，深入推进中国特色大国外交，推动经济持续回升向好，“十四五”主要目标任务即将胜利完成。隆重纪念中国人民抗日战争暨世界反法西斯战争胜利80周年，极大振奋民族精神、激发爱国热情、凝聚奋斗力量。</w:t>
      </w:r>
    </w:p>
    <w:p w14:paraId="78F153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高度评价“十四五”时期我国发展取得的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我国经济实力、科技实力、综合国力跃上新台阶，中国式现代化迈出新的坚实步伐，第二个百年奋斗目标新征程实现良好开局。</w:t>
      </w:r>
    </w:p>
    <w:p w14:paraId="5ED3E3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指出，实现社会主义现代化是一个阶梯式递进、不断发展进步的历史过程，需要不懈努力、接续奋斗。“十五五”时期是基本实现社会主义现代化夯实基础、全面发力的关键时期，在基本实现社会主义现代化进程中具有承前启后的重要地位。“十五五”时期我国发展环境面临深刻复杂变化，我国发展处于战略机遇和风险挑战并存、不确定难预料因素增多的时期。我国经济基础稳、优势多、韧性强、潜能大，长期向好的支撑条件和基本趋势没有变，中国特色社会主义制度优势、超大规模市场优势、完整产业体系优势、丰富人才资源优势更加彰显。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14:paraId="61762F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强调，“十五五”时期经济社会发展，必须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550D3D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全会指出，“十五五”时期经济社会发展必须遵循以下原则，坚持党的全面领导，坚持人民至上，坚持高质量发展，坚持全面深化改革，坚持有效市场和有为政府相结合，坚持统筹发展和安全。</w:t>
      </w:r>
    </w:p>
    <w:p w14:paraId="6A2886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了“十五五”时期经济社会发展的主要目标：高质量发展取得显著成效，科技自立自强水平大幅提高，进一步全面深化改革取得新突破，社会文明程度明显提升，人民生活品质不断提高，美丽中国建设取得新的重大进展，国家安全屏障更加巩固。在此基础上再奋斗五年，到二〇三五年实现我国经济实力、科技实力、国防实力、综合国力和国际影响力大幅跃升，人均国内生产总值达到中等发达国家水平，人民生活更加幸福美好，基本实现社会主义现代化。</w:t>
      </w:r>
    </w:p>
    <w:p w14:paraId="7ADC45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建设现代化产业体系，巩固壮大实体经济根基。坚持把发展经济的着力点放在实体经济上，坚持智能化、绿色化、融合化方向，加快建设制造强国、质量强国、航天强国、交通强国、网络强国，保持制造业合理比重，构建以先进制造业为骨干的现代化产业体系。要优化提升传统产业，培育壮大新兴产业和未来产业，促进服务业优质高效发展，构建现代化基础设施体系。</w:t>
      </w:r>
    </w:p>
    <w:p w14:paraId="3F21BE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加快高水平科技自立自强，引领发展新质生产力。抓住新一轮科技革命和产业变革历史机遇，统筹教育强国、科技强国、人才强国建设，提升国家创新体系整体效能，全面增强自主创新能力，抢占科技发展制高点，不断催生新质生产力。要加强原始创新和关键核心技术攻关，推动科技创新和产业创新深度融合，一体推进教育科技人才发展，深入推进数字中国建设。</w:t>
      </w:r>
    </w:p>
    <w:p w14:paraId="139993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建设强大国内市场，加快构建新发展格局。坚持扩大内需这个战略基点，坚持惠民生和促消费、投资于物和投资于人紧密结合，以新需求引领新供给，以新供给创造新需求，促进消费和投资、供给和需求良性互动，增强国内大循环内生动力和可靠性。要大力提振消费，扩大有效投资，坚决破除阻碍全国统一大市场建设卡点堵点。</w:t>
      </w:r>
    </w:p>
    <w:p w14:paraId="1EFE90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加快构建高水平社会主义市场经济体制，增强高质量发展动力。坚持和完善社会主义基本经济制度，更好发挥经济体制改革牵引作用，完善宏观经济治理体系，确保高质量发展行稳致远。要充分激发各类经营主体活力，加快完善要素市场化配置体制机制，提升宏观经济治理效能。</w:t>
      </w:r>
    </w:p>
    <w:p w14:paraId="4B0469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扩大高水平对外开放，开创合作共赢新局面。稳步扩大制度型开放，维护多边贸易体制，拓展国际循环，以开放促改革促发展，与世界各国共享机遇、共同发展。要积极扩大自主开放，推动贸易创新发展，拓展双向投资合作空间，高质量共建“一带一路”。</w:t>
      </w:r>
    </w:p>
    <w:p w14:paraId="2A8940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color w:val="0000FF"/>
          <w:sz w:val="30"/>
          <w:szCs w:val="30"/>
        </w:rPr>
      </w:pPr>
      <w:r>
        <w:rPr>
          <w:rFonts w:hint="eastAsia" w:ascii="方正仿宋_GB2312" w:hAnsi="方正仿宋_GB2312" w:eastAsia="方正仿宋_GB2312" w:cs="方正仿宋_GB2312"/>
          <w:i w:val="0"/>
          <w:iCs w:val="0"/>
          <w:caps w:val="0"/>
          <w:color w:val="0000FF"/>
          <w:spacing w:val="0"/>
          <w:sz w:val="30"/>
          <w:szCs w:val="30"/>
          <w:bdr w:val="none" w:color="auto" w:sz="0" w:space="0"/>
          <w:shd w:val="clear" w:fill="FFFFFF"/>
        </w:rPr>
        <w:t>全会提出，加快农业农村现代化，扎实推进乡村全面振兴。坚持把解决好“三农”问题作为全党工作重中之重，促进城乡融合发展，持续巩固拓展脱贫攻坚成果，推动农村基本具备现代生活条件，加快建设农业强国。要提升农业综合生产能力和质量效益，推进宜居宜业和美乡村建设，提高强农惠农富农政策效能。</w:t>
      </w:r>
    </w:p>
    <w:p w14:paraId="521D71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优化区域经济布局，促进区域协调发展。发挥区域协调发展战略、区域重大战略、主体功能区战略、新型城镇化战略叠加效应，优化重大生产力布局，发挥重点区域增长极作用，构建优势互补、高质量发展的区域经济布局和国土空间体系。要增强区域发展协调性，促进区域联动发展，优化国土空间发展格局，深入推进以人为本的新型城镇化，加强海洋开发利用保护。</w:t>
      </w:r>
    </w:p>
    <w:p w14:paraId="39DBEA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激发全民族文化创新创造活力，繁荣发展社会主义文化。坚持马克思主义在意识形态领域的指导地位，植根博大精深的中华文明，顺应信息技术发展潮流，发展具有强大思想引领力、精神凝聚力、价值感召力、国际影响力的新时代中国特色社会主义文化，扎实推进文化强国建设。要弘扬和践行社会主义核心价值观，大力繁荣文化事业，加快发展文化产业，提升中华文明传播力影响力。</w:t>
      </w:r>
    </w:p>
    <w:p w14:paraId="3451F3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加大保障和改善民生力度，扎实推进全体人民共同富裕。坚持尽力而为、量力而行，加强普惠性、基础性、兜底性民生建设，解决好人民群众急难愁盼问题，畅通社会流动渠道，提高人民生活品质。要促进高质量充分就业，完善收入分配制度，办好人民满意的教育，健全社会保障体系，推动房地产高质量发展，加快建设健康中国，促进人口高质量发展，稳步推进基本公共服务均等化。</w:t>
      </w:r>
    </w:p>
    <w:p w14:paraId="2E89AE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加快经济社会发展全面绿色转型，建设美丽中国。牢固树立和践行绿水青山就是金山银山的理念，以碳达峰碳中和为牵引，协同推进降碳、减污、扩绿、增长，筑牢生态安全屏障，增强绿色发展动能。要持续深入推进污染防治攻坚和生态系统优化，加快建设新型能源体系，积极稳妥推进和实现碳达峰，加快形成绿色生产生活方式。</w:t>
      </w:r>
    </w:p>
    <w:p w14:paraId="16ADDE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推进国家安全体系和能力现代化，建设更高水平平安中国。坚定不移贯彻总体国家安全观，走中国特色社会主义社会治理之路，确保社会生机勃勃又井然有序。要健全国家安全体系，加强重点领域国家安全能力建设，提高公共安全治理水平，完善社会治理体系。</w:t>
      </w:r>
    </w:p>
    <w:p w14:paraId="2746A1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提出，如期实现建军一百年奋斗目标，高质量推进国防和军队现代化。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要加快先进战斗力建设，推进军事治理现代化，巩固提高一体化国家战略体系和能力。</w:t>
      </w:r>
    </w:p>
    <w:p w14:paraId="3B7FA1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强调，全党全国各族人民团结起来为实现“十五五”规划而奋斗。坚持以党的自我革命引领社会革命，持之以恒推进全面从严治党，增强党的政治领导力、思想引领力、群众组织力、社会号召力，提高党领导经济社会发展能力和水平，为推进中国式现代化凝聚磅礴力量。要坚持和加强党中央集中统一领导，推进社会主义民主法治建设，充分调动全社会投身中国式现代化建设的积极性主动性创造性。促进香港、澳门长期繁荣稳定，推动两岸关系和平发展、推进祖国统一大业，推动构建人类命运共同体。</w:t>
      </w:r>
    </w:p>
    <w:p w14:paraId="138AA5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指出，学习好贯彻好全会精神是当前和今后一个时期全党全国的重大政治任务。要通过各种方式，组织好全会精神的学习、宣讲、宣传，使全党全社会领会好全会精神。要切实抓好全会精神的贯彻落实，坚定不移推动高质量发展，加快构建新发展格局，推动全体人民共同富裕迈出坚实步伐，更好统筹发展和安全，统筹推进经济建设和各领域工作，为基本实现社会主义现代化夯实基础。</w:t>
      </w:r>
    </w:p>
    <w:p w14:paraId="2282DB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强调，治国必先治党，党兴才能国强。管党治党越有效，经济社会发展的保障就越有力。必须以永远在路上的坚韧和执着，持之以恒推进全面从严治党，坚决把党的自我革命要求落实到位，推进党的作风建设常态化长效化，坚定不移开展反腐败斗争，为实现“十五五”时期经济社会发展目标提供坚强保证。</w:t>
      </w:r>
    </w:p>
    <w:p w14:paraId="540135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分析了当前形势和任务，强调坚决实现全年经济社会发展目标。要继续精准落实党中央决策部署，着力稳就业、稳企业、稳市场、稳预期，稳住经济基本盘，巩固拓展经济回升向好势头。宏观政策要持续发力、适时加力，落实好企业帮扶政策，深入实施提振消费专项行动，兜牢基层“三保”底线，积极稳妥化解地方政府债务风险。</w:t>
      </w:r>
    </w:p>
    <w:p w14:paraId="701901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指出，要切实抓好民生保障，多渠道挖掘潜力，加强稳岗促就业工作，促进重点群体稳定就业，加大欠薪整治力度，加强基本公共服务，解决好人民群众急难愁盼问题。切实抓好灾后恢复重建、受灾群众安置和生活保障工作，确保受灾群众温暖过冬。</w:t>
      </w:r>
    </w:p>
    <w:p w14:paraId="53C396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强调，要做好安全生产和维护稳定工作，压紧压实安全生产责任，严格落实各项监管制度，坚决防范和遏制重特大事故发生。强化食品药品安全全链条监管。深入排查化解矛盾纠纷，加强社会治安整体防控，依法打击各类违法犯罪。加强舆论引导，有效防范化解意识形态风险。</w:t>
      </w:r>
    </w:p>
    <w:p w14:paraId="1C8FFD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全会决定，增补张升民为中共中央军事委员会副主席。</w:t>
      </w:r>
    </w:p>
    <w:p w14:paraId="332019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全会按照党章规定，决定递补中央委员会候补委员于会文、马汉成、王健、王曦、王永红、王庭凯、王新伟、韦韬、邓亦武、邓修明、卢红为中央委员会委员。</w:t>
      </w:r>
    </w:p>
    <w:p w14:paraId="77C754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审议并通过了中共中央纪律检查委员会关于唐仁健、金湘军、李石松、杨发森、朱芝松严重违纪违法问题的审查报告，审议并通过了中共中央军事委员会关于何卫东、苗华、何宏军、王秀斌、林向阳、秦树桐、袁华智、王春宁、张凤中严重违纪违法问题的审查报告，确认中央政治局之前作出的给予何卫东、苗华、唐仁健、金湘军、何宏军、王秀斌、林向阳、秦树桐、袁华智、王春宁、李石松、杨发森、朱芝松、张凤中开除党籍的处分。</w:t>
      </w:r>
    </w:p>
    <w:p w14:paraId="4B62AA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i w:val="0"/>
          <w:iCs w:val="0"/>
          <w:caps w:val="0"/>
          <w:color w:val="333333"/>
          <w:spacing w:val="0"/>
          <w:sz w:val="30"/>
          <w:szCs w:val="30"/>
          <w:bdr w:val="none" w:color="auto" w:sz="0" w:space="0"/>
          <w:shd w:val="clear" w:fill="FFFFFF"/>
        </w:rPr>
        <w:t>全会号召，全党全军全国各族人民要更加紧密地团结在以习近平同志为核心的党中央周围，为基本实现社会主义现代化而共同奋斗，不断开创以中国式现代化全面推进强国建设、民族复兴伟业新局面。</w:t>
      </w:r>
    </w:p>
    <w:p w14:paraId="6DEF95F5">
      <w:pPr>
        <w:rPr>
          <w:rFonts w:hint="eastAsia" w:ascii="方正仿宋_GB2312" w:hAnsi="方正仿宋_GB2312" w:eastAsia="方正仿宋_GB2312" w:cs="方正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5DACADB3-D73C-4D35-9BAE-0ED48B92F07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EF47D7"/>
    <w:rsid w:val="05EF4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 w:type="paragraph" w:styleId="8">
    <w:name w:val=""/>
    <w:basedOn w:val="1"/>
    <w:next w:val="1"/>
    <w:uiPriority w:val="0"/>
    <w:pPr>
      <w:pBdr>
        <w:bottom w:val="single" w:color="auto" w:sz="6" w:space="1"/>
      </w:pBdr>
      <w:jc w:val="center"/>
    </w:pPr>
    <w:rPr>
      <w:rFonts w:ascii="Arial" w:eastAsia="宋体"/>
      <w:vanish/>
      <w:sz w:val="16"/>
    </w:rPr>
  </w:style>
  <w:style w:type="paragraph" w:styleId="9">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7</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2025-10-28T02:17:00Z</dcterms:created>
  <dc:creator>张钰婷</dc:creator>
  <cp:lastModifiedBy>张钰婷</cp:lastModifiedBy>
  <dcterms:modified xsi:type="dcterms:W3CDTF">2025-10-28T02:26:40Z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00F834F0539B40D8983E7D14F459BCDB_11</vt:lpwstr>
  </property>
  <property fmtid="{D5CDD505-2E9C-101B-9397-08002B2CF9AE}" pid="4" name="KSOTemplateDocerSaveRecord">
    <vt:lpwstr>eyJoZGlkIjoiZjI2MmU2ODU2YjM5Yzc2NWQwYWIxNTExODBkOGZjZGEiLCJ1c2VySWQiOiIxNjYyODk2Nzc4In0=</vt:lpwstr>
  </property>
</Properties>
</file>